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D972E0" w:rsidRPr="00E71B8F" w:rsidRDefault="00D972E0" w:rsidP="00D972E0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4E2950" w:rsidRPr="00D972E0" w:rsidRDefault="00D972E0" w:rsidP="00D972E0">
      <w:pPr>
        <w:rPr>
          <w:rFonts w:ascii="Arial" w:hAnsi="Arial" w:cs="Arial"/>
          <w:b/>
          <w:bCs w:val="0"/>
          <w:noProof/>
          <w:sz w:val="32"/>
          <w:szCs w:val="32"/>
        </w:rPr>
      </w:pPr>
      <w:r w:rsidRPr="003260E4">
        <w:rPr>
          <w:rFonts w:ascii="Arial" w:hAnsi="Arial" w:cs="Arial"/>
          <w:b/>
          <w:bCs w:val="0"/>
          <w:noProof/>
          <w:sz w:val="32"/>
          <w:szCs w:val="32"/>
        </w:rPr>
        <w:t>17.02</w:t>
      </w:r>
      <w:r>
        <w:rPr>
          <w:rFonts w:ascii="Arial" w:hAnsi="Arial" w:cs="Arial"/>
          <w:b/>
          <w:bCs w:val="0"/>
          <w:noProof/>
          <w:sz w:val="32"/>
          <w:szCs w:val="32"/>
        </w:rPr>
        <w:t>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11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4E2950" w:rsidRPr="00D972E0" w:rsidTr="004E2950">
        <w:tc>
          <w:tcPr>
            <w:tcW w:w="9676" w:type="dxa"/>
          </w:tcPr>
          <w:p w:rsidR="00D972E0" w:rsidRPr="00D972E0" w:rsidRDefault="00D972E0" w:rsidP="004E2950">
            <w:pPr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D972E0" w:rsidRPr="00D972E0" w:rsidRDefault="00D972E0" w:rsidP="00D972E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утверждении Правил рассмотрения в администрации муниципального образования </w:t>
            </w:r>
            <w:proofErr w:type="spellStart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Оренбургской области запросов субъектов персональных данных или их представителей</w:t>
            </w:r>
          </w:p>
          <w:p w:rsidR="00D972E0" w:rsidRPr="00D972E0" w:rsidRDefault="00D972E0" w:rsidP="004E2950">
            <w:pPr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 соответствии с </w:t>
            </w:r>
            <w:hyperlink r:id="rId6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27.07.2006 г. N 152-ФЗ "О персональных данных" и </w:t>
            </w:r>
            <w:hyperlink r:id="rId7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и правовыми актами, операторами, являющимися государственными или муниципальными органами":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0" w:name="sub_1"/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1. Утвердить прилагаемые </w:t>
            </w:r>
            <w:hyperlink r:id="rId8" w:anchor="sub_4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Правила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рассмотрения в администрации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D972E0"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D972E0"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района Оренбургской области запросов субъектов персональных данных или их представителей согласно приложению.</w:t>
            </w:r>
          </w:p>
          <w:p w:rsidR="004E2950" w:rsidRPr="00D972E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D972E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Контроль за исполнением настоящего постановления оставляю за собой.</w:t>
            </w:r>
          </w:p>
          <w:p w:rsidR="004E2950" w:rsidRPr="00D972E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3. Постановление вступает в силу со дня его подписания.</w:t>
            </w:r>
          </w:p>
          <w:p w:rsidR="004E2950" w:rsidRPr="00D972E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4E295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6D2F20" w:rsidRPr="00D972E0" w:rsidRDefault="006D2F2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Глава  администрации</w:t>
            </w:r>
            <w:proofErr w:type="gramEnd"/>
          </w:p>
          <w:p w:rsidR="004E2950" w:rsidRPr="00D972E0" w:rsidRDefault="00D972E0" w:rsidP="004E29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E2950"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                                                            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Каданцев</w:t>
            </w:r>
            <w:proofErr w:type="spellEnd"/>
          </w:p>
          <w:p w:rsidR="004E2950" w:rsidRPr="00D972E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right="7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right="7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right="72" w:firstLine="612"/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972E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Разослано:  прокурору</w:t>
            </w:r>
            <w:proofErr w:type="gramEnd"/>
            <w:r w:rsidRPr="00D972E0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, в дело</w:t>
            </w:r>
          </w:p>
          <w:p w:rsidR="004E2950" w:rsidRPr="00D972E0" w:rsidRDefault="004E2950" w:rsidP="004E2950">
            <w:pPr>
              <w:tabs>
                <w:tab w:val="left" w:pos="93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tabs>
                <w:tab w:val="left" w:pos="93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tabs>
                <w:tab w:val="left" w:pos="9356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D972E0" w:rsidRP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P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bCs w:val="0"/>
                <w:sz w:val="32"/>
                <w:szCs w:val="32"/>
                <w:lang w:eastAsia="en-US"/>
              </w:rPr>
            </w:pPr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Приложение  </w:t>
            </w:r>
          </w:p>
          <w:p w:rsidR="004E2950" w:rsidRPr="00D972E0" w:rsidRDefault="004E295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к постановлению администрации</w:t>
            </w:r>
          </w:p>
          <w:p w:rsidR="004E2950" w:rsidRPr="00D972E0" w:rsidRDefault="004E295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4E2950" w:rsidRP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proofErr w:type="spellStart"/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Платовский</w:t>
            </w:r>
            <w:proofErr w:type="spellEnd"/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4E2950"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сельсовет</w:t>
            </w:r>
          </w:p>
          <w:p w:rsidR="004E2950" w:rsidRPr="00D972E0" w:rsidRDefault="00D972E0" w:rsidP="004E2950">
            <w:pPr>
              <w:tabs>
                <w:tab w:val="left" w:pos="8789"/>
              </w:tabs>
              <w:ind w:right="-1"/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от 17.02.2022 № 11</w:t>
            </w:r>
            <w:r w:rsidR="004E2950" w:rsidRPr="00D972E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-п </w:t>
            </w:r>
            <w:bookmarkEnd w:id="0"/>
          </w:p>
          <w:p w:rsidR="004E2950" w:rsidRPr="00D972E0" w:rsidRDefault="004E2950" w:rsidP="004E29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bookmarkStart w:id="1" w:name="sub_4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Правила </w:t>
            </w:r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  <w:t>рассмотрения в администрации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D972E0"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Платовкий</w:t>
            </w:r>
            <w:proofErr w:type="spellEnd"/>
            <w:r w:rsidR="00D972E0"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сельсовет </w:t>
            </w:r>
            <w:proofErr w:type="spellStart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972E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района Оренбургской области запросов субъектов персональных данных или их представителей </w:t>
            </w:r>
            <w:bookmarkEnd w:id="1"/>
          </w:p>
          <w:p w:rsidR="004E2950" w:rsidRPr="00D972E0" w:rsidRDefault="004E2950" w:rsidP="004E295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bookmarkStart w:id="2" w:name="sub_5"/>
            <w:r w:rsidRPr="00D972E0">
              <w:rPr>
                <w:sz w:val="24"/>
                <w:szCs w:val="24"/>
                <w:lang w:eastAsia="en-US"/>
              </w:rPr>
              <w:t>1. Общие положения</w:t>
            </w:r>
            <w:bookmarkEnd w:id="2"/>
          </w:p>
          <w:p w:rsidR="004E2950" w:rsidRPr="00D972E0" w:rsidRDefault="004E2950" w:rsidP="004E295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3" w:name="sub_6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. Настоящие Правила разработаны в соответствии с </w:t>
            </w:r>
            <w:hyperlink r:id="rId9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27.07.2006 г. </w:t>
            </w:r>
            <w:r w:rsidR="006D2F2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152-ФЗ "О персональных данных" (далее - Федеральный закон </w:t>
            </w:r>
            <w:r w:rsidR="006D2F2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  <w:bookmarkStart w:id="4" w:name="_GoBack"/>
            <w:bookmarkEnd w:id="4"/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152-ФЗ), </w:t>
            </w:r>
            <w:hyperlink r:id="rId10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от 02.05.2006 г.</w:t>
            </w:r>
            <w:r w:rsidR="006D2F2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59-ФЗ "О порядке рассмотрения обращений граждан Российской Федерации", </w:t>
            </w:r>
            <w:hyperlink r:id="rId11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Правительства Российской Федерации от 21.03.2012 г. </w:t>
            </w:r>
            <w:r w:rsidR="006D2F2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 и принятыми в соответствии с ним нормативными правовыми актами, операторами, являющимися государственными и муниципальными органами" и определяют порядок организации работы по приему, регистрации и рассмотрению поступивших в администрацию муниципального образования </w:t>
            </w:r>
            <w:proofErr w:type="spellStart"/>
            <w:r w:rsidR="00D972E0"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Платовский</w:t>
            </w:r>
            <w:proofErr w:type="spellEnd"/>
            <w:r w:rsidR="00D972E0"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сельсовет (далее - оператор) запросов субъектов персональных данных или их представителей (далее - запросы).</w:t>
            </w:r>
            <w:bookmarkEnd w:id="3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5" w:name="sub_7"/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2. В настоящих Правилах термины и понятия применяются в том же значении, что и в </w:t>
            </w:r>
            <w:hyperlink r:id="rId12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Федеральном законе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D2F2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152-ФЗ.</w:t>
            </w:r>
            <w:bookmarkEnd w:id="5"/>
          </w:p>
          <w:p w:rsidR="004E2950" w:rsidRPr="00D972E0" w:rsidRDefault="004E2950" w:rsidP="004E2950">
            <w:pPr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color w:val="26282F"/>
                <w:sz w:val="24"/>
                <w:szCs w:val="24"/>
                <w:lang w:eastAsia="en-US"/>
              </w:rPr>
            </w:pPr>
            <w:bookmarkStart w:id="6" w:name="sub_8"/>
            <w:r w:rsidRPr="00D972E0">
              <w:rPr>
                <w:sz w:val="24"/>
                <w:szCs w:val="24"/>
                <w:lang w:eastAsia="en-US"/>
              </w:rPr>
              <w:t>2. Прием, регистрация и рассмотрение запросов</w:t>
            </w:r>
            <w:bookmarkEnd w:id="6"/>
          </w:p>
          <w:p w:rsidR="004E2950" w:rsidRPr="00D972E0" w:rsidRDefault="004E2950" w:rsidP="004E2950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sub_10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      </w:r>
            <w:bookmarkEnd w:id="7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8" w:name="sub_11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4. Запрос может быть подан одним из следующих способов:</w:t>
            </w:r>
            <w:bookmarkEnd w:id="8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а) лично;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б) письменно;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"Интернет".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9" w:name="sub_12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      </w:r>
            <w:bookmarkEnd w:id="9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а) на стендах, расположенных в помещениях, занимаемых оператором;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б) на официальном сайте оператора в информационно-телекоммуникационной сети "Интернет".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0" w:name="sub_13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Прием субъектов персональных данных или их представителей ведется сотрудниками оператора, ответственными за прием и регистрацию обращений, в соответствии с </w:t>
            </w:r>
            <w:bookmarkStart w:id="11" w:name="sub_14"/>
            <w:bookmarkEnd w:id="10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Положением о порядке рассмотрения </w:t>
            </w:r>
            <w:proofErr w:type="gram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обращений  граждан</w:t>
            </w:r>
            <w:proofErr w:type="gramEnd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администрации </w:t>
            </w:r>
            <w:proofErr w:type="spellStart"/>
            <w:r w:rsidR="00D972E0" w:rsidRPr="00D972E0"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D972E0"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</w:t>
            </w:r>
            <w:proofErr w:type="spell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области.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      </w:r>
            <w:bookmarkEnd w:id="11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2" w:name="sub_15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8.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      </w:r>
            <w:bookmarkEnd w:id="12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3" w:name="sub_16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9. 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      </w:r>
            <w:bookmarkEnd w:id="13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В случае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4" w:name="sub_17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10. Запросы регистрируются в день их поступления к оператору в соответствии с Положением о порядке рассмотрения </w:t>
            </w:r>
            <w:proofErr w:type="gramStart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обращений  граждан</w:t>
            </w:r>
            <w:proofErr w:type="gramEnd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администрации </w:t>
            </w:r>
            <w:proofErr w:type="spellStart"/>
            <w:r w:rsidR="00D972E0" w:rsidRPr="00D972E0">
              <w:rPr>
                <w:rFonts w:ascii="Arial" w:hAnsi="Arial" w:cs="Arial"/>
                <w:sz w:val="24"/>
                <w:szCs w:val="24"/>
                <w:lang w:eastAsia="en-US"/>
              </w:rPr>
              <w:t>Платовского</w:t>
            </w:r>
            <w:proofErr w:type="spellEnd"/>
            <w:r w:rsidR="00D972E0"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сельсовета.</w:t>
            </w:r>
            <w:bookmarkEnd w:id="14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Днем обращения считается дата регистрации запроса субъекта персональных данных или его представителя.</w:t>
            </w:r>
            <w:bookmarkStart w:id="15" w:name="sub_18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подписан </w:t>
            </w:r>
            <w:hyperlink r:id="rId13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электронной подписью</w:t>
              </w:r>
            </w:hyperlink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законодательством Российской Федерации.</w:t>
            </w:r>
            <w:bookmarkStart w:id="16" w:name="sub_19"/>
            <w:bookmarkEnd w:id="15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12.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      </w:r>
            <w:bookmarkEnd w:id="16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7" w:name="sub_20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13. При рассмотрении запросов обеспечивается:</w:t>
            </w:r>
            <w:bookmarkEnd w:id="17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а) объективное, всестороннее и своевременное рассмотрения запроса;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б) принятие мер, направленных на восстановление или защиту нарушенных прав, свобод и законных интересов субъектов персональных данных;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в) направление письменных ответов по существу запроса.</w:t>
            </w: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8" w:name="sub_21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14. Запрос прочитывается, проверяется на повторность, при необходимости сверяется с находящейся в архиве предыдущей перепиской.</w:t>
            </w:r>
            <w:bookmarkEnd w:id="18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9" w:name="sub_22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15. Оператор вправе отказать субъекту персональных данных в выполнении повторного запроса, не соответствующего условиям, </w:t>
            </w:r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предусмотренным </w:t>
            </w:r>
            <w:hyperlink r:id="rId14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частями 4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5 статьи 14</w:t>
              </w:r>
            </w:hyperlink>
            <w:r w:rsidRPr="00D972E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Федерального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закона </w:t>
            </w:r>
            <w:r w:rsidR="006D2F2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152-ФЗ. Такой отказ должен быть мотивированным.</w:t>
            </w:r>
            <w:bookmarkEnd w:id="19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0" w:name="sub_23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16. 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возможность ознакомления с этими персональными данными при обращении субъекта персональных данных или его представителя в течение 10 календарных дней с даты обращения субъекта персональных данных или его представителя.</w:t>
            </w:r>
            <w:bookmarkEnd w:id="20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1" w:name="sub_24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обращении,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</w:t>
            </w:r>
            <w:hyperlink r:id="rId16" w:history="1">
              <w:r w:rsidRPr="00D972E0">
                <w:rPr>
                  <w:rStyle w:val="a5"/>
                  <w:rFonts w:ascii="Arial" w:hAnsi="Arial" w:cs="Arial"/>
                  <w:color w:val="000000"/>
                  <w:sz w:val="24"/>
                  <w:szCs w:val="24"/>
                  <w:lang w:eastAsia="en-US"/>
                </w:rPr>
                <w:t>части 8 статьи 14</w:t>
              </w:r>
            </w:hyperlink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Федерального закона </w:t>
            </w:r>
            <w:r w:rsidR="006D2F20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152-ФЗ или иного Федерального закона, являющееся основанием для такого отказа, в срок, не превышающий 7 рабочих дней со дня обращения субъекта персональных данных или его представителя.</w:t>
            </w:r>
            <w:bookmarkEnd w:id="21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2" w:name="sub_25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      </w:r>
            <w:bookmarkEnd w:id="22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3" w:name="sub_26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19. Для проверки фактов, изложенных в запросах, при необходимости организуются служебные проверки в соответствии с действующим законодательством и муниципальными правовыми актами Оренбургской области.</w:t>
            </w:r>
            <w:bookmarkEnd w:id="23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4" w:name="sub_27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20. Запрос считается исполненным, если рассмотрены все поставленные в нем вопросы, приняты необходимые меры и даны исчерпывающие ответы.</w:t>
            </w:r>
            <w:bookmarkEnd w:id="24"/>
          </w:p>
          <w:p w:rsidR="004E2950" w:rsidRPr="00D972E0" w:rsidRDefault="004E2950" w:rsidP="004E29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  <w:lang w:eastAsia="en-US"/>
              </w:rPr>
            </w:pPr>
            <w:bookmarkStart w:id="25" w:name="sub_9"/>
            <w:r w:rsidRPr="00D972E0">
              <w:rPr>
                <w:sz w:val="24"/>
                <w:szCs w:val="24"/>
                <w:lang w:eastAsia="en-US"/>
              </w:rPr>
              <w:t xml:space="preserve">3. Контроль за соблюдением порядка рассмотрения </w:t>
            </w:r>
            <w:r w:rsidRPr="00D972E0">
              <w:rPr>
                <w:sz w:val="24"/>
                <w:szCs w:val="24"/>
                <w:lang w:eastAsia="en-US"/>
              </w:rPr>
              <w:br/>
              <w:t>запросов субъектов персональных данных или их представителей</w:t>
            </w:r>
            <w:bookmarkEnd w:id="25"/>
          </w:p>
          <w:p w:rsidR="004E2950" w:rsidRPr="00D972E0" w:rsidRDefault="004E2950" w:rsidP="004E29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6" w:name="sub_28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21. Оператор осуществляет контроль за соблюдением установленного законодательством и настоящими Правилами порядка рассмотрения запросов.</w:t>
            </w:r>
            <w:bookmarkEnd w:id="26"/>
          </w:p>
          <w:p w:rsidR="004E2950" w:rsidRPr="00D972E0" w:rsidRDefault="004E2950" w:rsidP="004E2950">
            <w:pPr>
              <w:ind w:firstLine="5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7" w:name="sub_29"/>
            <w:r w:rsidRPr="00D972E0">
              <w:rPr>
                <w:rFonts w:ascii="Arial" w:hAnsi="Arial" w:cs="Arial"/>
                <w:sz w:val="24"/>
                <w:szCs w:val="24"/>
                <w:lang w:eastAsia="en-US"/>
              </w:rPr>
              <w:t>22.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      </w:r>
            <w:bookmarkEnd w:id="27"/>
          </w:p>
          <w:p w:rsidR="004E2950" w:rsidRPr="00D972E0" w:rsidRDefault="004E2950">
            <w:pPr>
              <w:widowControl w:val="0"/>
              <w:kinsoku w:val="0"/>
              <w:spacing w:line="276" w:lineRule="auto"/>
              <w:ind w:left="106" w:right="3825"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150EBF" w:rsidRPr="00D972E0" w:rsidRDefault="00150EBF">
      <w:pPr>
        <w:rPr>
          <w:rFonts w:ascii="Arial" w:hAnsi="Arial" w:cs="Arial"/>
          <w:sz w:val="24"/>
          <w:szCs w:val="24"/>
        </w:rPr>
      </w:pPr>
    </w:p>
    <w:sectPr w:rsidR="00150EBF" w:rsidRPr="00D9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0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2200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1BF1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0E4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2950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2F20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972E0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FFA4-7612-4237-A035-B97A951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E29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29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E2950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2950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E2950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950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E2950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E2950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E2950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9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E29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E295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E2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E29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29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E2950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4E295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E295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E2950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4E2950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Гипертекстовая ссылка"/>
    <w:uiPriority w:val="99"/>
    <w:rsid w:val="004E295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postanovlenie-379-p-ot-24.06.2013-pravila-rassmotreniya-zaprosov-sub-ektov-personal-nyh-dannyh.doc" TargetMode="External"/><Relationship Id="rId13" Type="http://schemas.openxmlformats.org/officeDocument/2006/relationships/hyperlink" Target="garantf1://12084522.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052982.0/" TargetMode="External"/><Relationship Id="rId12" Type="http://schemas.openxmlformats.org/officeDocument/2006/relationships/hyperlink" Target="garantf1://12048567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140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/" TargetMode="External"/><Relationship Id="rId11" Type="http://schemas.openxmlformats.org/officeDocument/2006/relationships/hyperlink" Target="garantf1://7005298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405/" TargetMode="External"/><Relationship Id="rId10" Type="http://schemas.openxmlformats.org/officeDocument/2006/relationships/hyperlink" Target="garantf1://1204666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/" TargetMode="External"/><Relationship Id="rId14" Type="http://schemas.openxmlformats.org/officeDocument/2006/relationships/hyperlink" Target="garantf1://12048567.1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8A78-74E2-416B-BE10-4F0BED3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1419</Words>
  <Characters>8090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2022-02-18T09:25:00Z</dcterms:created>
  <dcterms:modified xsi:type="dcterms:W3CDTF">2022-02-22T07:31:00Z</dcterms:modified>
</cp:coreProperties>
</file>